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CD70" w14:textId="0E0B9FC4" w:rsidR="00651193" w:rsidRPr="005030CB" w:rsidRDefault="00651193">
      <w:pPr>
        <w:rPr>
          <w:b/>
          <w:bCs/>
          <w:sz w:val="24"/>
          <w:szCs w:val="24"/>
        </w:rPr>
      </w:pPr>
      <w:r w:rsidRPr="005030CB">
        <w:rPr>
          <w:b/>
          <w:bCs/>
          <w:sz w:val="24"/>
          <w:szCs w:val="24"/>
        </w:rPr>
        <w:t>Title: Australia’s High Productivity Vehicles Deliver</w:t>
      </w:r>
      <w:r w:rsidR="0035616E">
        <w:rPr>
          <w:b/>
          <w:bCs/>
          <w:sz w:val="24"/>
          <w:szCs w:val="24"/>
        </w:rPr>
        <w:t>ing</w:t>
      </w:r>
      <w:r w:rsidRPr="005030CB">
        <w:rPr>
          <w:b/>
          <w:bCs/>
          <w:sz w:val="24"/>
          <w:szCs w:val="24"/>
        </w:rPr>
        <w:t xml:space="preserve"> Continued Safety, Productivity and Sustainab</w:t>
      </w:r>
      <w:r w:rsidR="0035616E">
        <w:rPr>
          <w:b/>
          <w:bCs/>
          <w:sz w:val="24"/>
          <w:szCs w:val="24"/>
        </w:rPr>
        <w:t xml:space="preserve">ility </w:t>
      </w:r>
      <w:r w:rsidRPr="005030CB">
        <w:rPr>
          <w:b/>
          <w:bCs/>
          <w:sz w:val="24"/>
          <w:szCs w:val="24"/>
        </w:rPr>
        <w:t xml:space="preserve">outcomes during </w:t>
      </w:r>
      <w:r w:rsidR="00B70930" w:rsidRPr="005030CB">
        <w:rPr>
          <w:b/>
          <w:bCs/>
          <w:sz w:val="24"/>
          <w:szCs w:val="24"/>
        </w:rPr>
        <w:t xml:space="preserve">and after </w:t>
      </w:r>
      <w:r w:rsidRPr="005030CB">
        <w:rPr>
          <w:b/>
          <w:bCs/>
          <w:sz w:val="24"/>
          <w:szCs w:val="24"/>
        </w:rPr>
        <w:t>the Pandemic</w:t>
      </w:r>
    </w:p>
    <w:p w14:paraId="1170AF1E" w14:textId="33EA8515" w:rsidR="00651193" w:rsidRPr="00C42B26" w:rsidRDefault="00C42B26">
      <w:pPr>
        <w:rPr>
          <w:b/>
          <w:bCs/>
        </w:rPr>
      </w:pPr>
      <w:r w:rsidRPr="00C42B26">
        <w:rPr>
          <w:b/>
          <w:bCs/>
        </w:rPr>
        <w:t>Background:</w:t>
      </w:r>
    </w:p>
    <w:p w14:paraId="54E3BACA" w14:textId="30EF7AA4" w:rsidR="00070375" w:rsidRDefault="00070375">
      <w:r>
        <w:t xml:space="preserve">The beginnings of a new road freight productivity scheme </w:t>
      </w:r>
      <w:proofErr w:type="gramStart"/>
      <w:r>
        <w:t>was</w:t>
      </w:r>
      <w:proofErr w:type="gramEnd"/>
      <w:r>
        <w:t xml:space="preserve"> </w:t>
      </w:r>
      <w:r w:rsidR="00B70930">
        <w:t xml:space="preserve">first initiated </w:t>
      </w:r>
      <w:r>
        <w:t xml:space="preserve">by the then National Road Transport Commission </w:t>
      </w:r>
      <w:r w:rsidR="002662C3">
        <w:t xml:space="preserve">(NRTC) over the period </w:t>
      </w:r>
      <w:r>
        <w:t>1997</w:t>
      </w:r>
      <w:r w:rsidR="002662C3">
        <w:t>-2006</w:t>
      </w:r>
      <w:r>
        <w:t xml:space="preserve">. The scheme was called the </w:t>
      </w:r>
      <w:r w:rsidR="002662C3">
        <w:t>‘</w:t>
      </w:r>
      <w:r>
        <w:t>Performance Based Standards</w:t>
      </w:r>
      <w:r w:rsidR="002662C3">
        <w:t>’</w:t>
      </w:r>
      <w:r>
        <w:t xml:space="preserve"> (PBS) Scheme</w:t>
      </w:r>
      <w:r w:rsidR="002662C3">
        <w:t xml:space="preserve"> and it was the scheme whereby these new </w:t>
      </w:r>
      <w:r w:rsidR="00B70930">
        <w:t>‘</w:t>
      </w:r>
      <w:r w:rsidR="002662C3">
        <w:t>High Productivity Vehicles</w:t>
      </w:r>
      <w:r w:rsidR="00B70930">
        <w:t>’</w:t>
      </w:r>
      <w:r w:rsidR="002662C3">
        <w:t xml:space="preserve"> were allowed to operate. </w:t>
      </w:r>
      <w:r>
        <w:t xml:space="preserve">After trials the States and federal government finalized the scheme in 2007 and handed </w:t>
      </w:r>
      <w:r w:rsidR="00502C7F">
        <w:t xml:space="preserve">the operational </w:t>
      </w:r>
      <w:r w:rsidR="002662C3">
        <w:t>aspects of th</w:t>
      </w:r>
      <w:r w:rsidR="00B70930">
        <w:t xml:space="preserve">is new national </w:t>
      </w:r>
      <w:r w:rsidR="002662C3">
        <w:t xml:space="preserve">scheme over to </w:t>
      </w:r>
      <w:r w:rsidR="00502C7F">
        <w:t>the new</w:t>
      </w:r>
      <w:r w:rsidR="002662C3">
        <w:t xml:space="preserve">ly created </w:t>
      </w:r>
      <w:r w:rsidR="00502C7F">
        <w:t>National Heavy Vehicle Regulator</w:t>
      </w:r>
      <w:r w:rsidR="002662C3">
        <w:t xml:space="preserve"> (NHVR)</w:t>
      </w:r>
      <w:r w:rsidR="00B70930">
        <w:t xml:space="preserve"> in 2013</w:t>
      </w:r>
      <w:r w:rsidR="00502C7F">
        <w:t>.</w:t>
      </w:r>
    </w:p>
    <w:p w14:paraId="0E915B0C" w14:textId="264D29E4" w:rsidR="00502C7F" w:rsidRDefault="00F85073">
      <w:r>
        <w:t>These vehicles from a safety, p</w:t>
      </w:r>
      <w:r w:rsidR="00C42B26">
        <w:t xml:space="preserve">roductivity and environmental </w:t>
      </w:r>
      <w:r w:rsidR="00B70930">
        <w:t xml:space="preserve">perspective </w:t>
      </w:r>
      <w:r w:rsidR="00C42B26">
        <w:t>have produced significant benefits when compared to Australia’s conventional truck</w:t>
      </w:r>
      <w:r w:rsidR="00B70930">
        <w:t>ing</w:t>
      </w:r>
      <w:r w:rsidR="00C42B26">
        <w:t xml:space="preserve"> fleet.</w:t>
      </w:r>
    </w:p>
    <w:p w14:paraId="0D70599C" w14:textId="3D796480" w:rsidR="002662C3" w:rsidRPr="002662C3" w:rsidRDefault="002662C3" w:rsidP="002662C3">
      <w:pPr>
        <w:rPr>
          <w:b/>
          <w:bCs/>
        </w:rPr>
      </w:pPr>
      <w:r w:rsidRPr="002662C3">
        <w:rPr>
          <w:b/>
          <w:bCs/>
        </w:rPr>
        <w:t xml:space="preserve">The </w:t>
      </w:r>
      <w:r w:rsidR="005030CB">
        <w:rPr>
          <w:b/>
          <w:bCs/>
        </w:rPr>
        <w:t xml:space="preserve">Australian </w:t>
      </w:r>
      <w:r w:rsidRPr="002662C3">
        <w:rPr>
          <w:b/>
          <w:bCs/>
        </w:rPr>
        <w:t xml:space="preserve">Road Freight </w:t>
      </w:r>
      <w:r w:rsidR="005030CB">
        <w:rPr>
          <w:b/>
          <w:bCs/>
        </w:rPr>
        <w:t xml:space="preserve">Ups and Downs </w:t>
      </w:r>
      <w:r w:rsidRPr="002662C3">
        <w:rPr>
          <w:b/>
          <w:bCs/>
        </w:rPr>
        <w:t xml:space="preserve">during the COVID-19 Pandemic </w:t>
      </w:r>
    </w:p>
    <w:p w14:paraId="6FAC1007" w14:textId="7DDF2C62" w:rsidR="00070375" w:rsidRDefault="00B70930">
      <w:r>
        <w:t xml:space="preserve">Australia’s </w:t>
      </w:r>
      <w:r w:rsidR="009C5438">
        <w:t xml:space="preserve">2020 </w:t>
      </w:r>
      <w:r>
        <w:t xml:space="preserve">pandemic year </w:t>
      </w:r>
      <w:r w:rsidR="0035616E">
        <w:t xml:space="preserve">saw </w:t>
      </w:r>
      <w:r w:rsidR="00243D6B">
        <w:t xml:space="preserve">freight highlights </w:t>
      </w:r>
      <w:r w:rsidR="009C5438">
        <w:t xml:space="preserve">and lowlights </w:t>
      </w:r>
      <w:r w:rsidR="0035616E">
        <w:t xml:space="preserve">over </w:t>
      </w:r>
      <w:r w:rsidR="009C5438">
        <w:t>th</w:t>
      </w:r>
      <w:r w:rsidR="00243D6B">
        <w:t>is period</w:t>
      </w:r>
      <w:r w:rsidR="009C5438">
        <w:t xml:space="preserve">. Interstate transport </w:t>
      </w:r>
      <w:r w:rsidR="00243D6B">
        <w:t xml:space="preserve">continued to </w:t>
      </w:r>
      <w:r w:rsidR="009C5438">
        <w:t xml:space="preserve">move across </w:t>
      </w:r>
      <w:r w:rsidR="00243D6B">
        <w:t xml:space="preserve">State </w:t>
      </w:r>
      <w:r w:rsidR="009C5438">
        <w:t xml:space="preserve">borders, food and supermarket </w:t>
      </w:r>
      <w:r w:rsidR="00243D6B">
        <w:t xml:space="preserve">road </w:t>
      </w:r>
      <w:r w:rsidR="009C5438">
        <w:t>transport</w:t>
      </w:r>
      <w:r w:rsidR="0035616E">
        <w:t>s</w:t>
      </w:r>
      <w:r w:rsidR="009C5438">
        <w:t xml:space="preserve"> actually grew, construction transport continued strongly as did household deliveries, although this was mainly done </w:t>
      </w:r>
      <w:r w:rsidR="0035616E">
        <w:t xml:space="preserve">with </w:t>
      </w:r>
      <w:r w:rsidR="009C5438">
        <w:t>smaller light commercial vehicles. Retail and non</w:t>
      </w:r>
      <w:r w:rsidR="00A4219B">
        <w:t>-</w:t>
      </w:r>
      <w:r w:rsidR="009C5438">
        <w:t xml:space="preserve">essential manufacturing </w:t>
      </w:r>
      <w:r w:rsidR="00A4219B">
        <w:t>took a significant downturn in activity.</w:t>
      </w:r>
      <w:r w:rsidR="00243D6B">
        <w:t xml:space="preserve"> However, overall road freight transport grew by </w:t>
      </w:r>
      <w:r w:rsidR="0035616E">
        <w:t xml:space="preserve">a weak but positive </w:t>
      </w:r>
      <w:r w:rsidR="00243D6B">
        <w:t>1.4% over the year</w:t>
      </w:r>
      <w:r w:rsidR="0035616E">
        <w:t>,</w:t>
      </w:r>
      <w:r w:rsidR="00243D6B">
        <w:t xml:space="preserve"> whereas other sectors returned negative GDP contributions.</w:t>
      </w:r>
    </w:p>
    <w:p w14:paraId="2A92A188" w14:textId="5702235A" w:rsidR="00070375" w:rsidRDefault="00A4219B">
      <w:r>
        <w:t xml:space="preserve">However, even though there </w:t>
      </w:r>
      <w:proofErr w:type="gramStart"/>
      <w:r>
        <w:t>was</w:t>
      </w:r>
      <w:proofErr w:type="gramEnd"/>
      <w:r>
        <w:t xml:space="preserve"> some sectoral downturn</w:t>
      </w:r>
      <w:r w:rsidR="0035616E">
        <w:t>s</w:t>
      </w:r>
      <w:r>
        <w:t xml:space="preserve"> in heavy truck operations</w:t>
      </w:r>
      <w:r w:rsidR="0035616E">
        <w:t>,</w:t>
      </w:r>
      <w:r>
        <w:t xml:space="preserve"> the uptake of </w:t>
      </w:r>
      <w:r w:rsidR="00243D6B">
        <w:t xml:space="preserve">Australia’s </w:t>
      </w:r>
      <w:r>
        <w:t xml:space="preserve">High Productivity Vehicles continued at a strong but slightly lower </w:t>
      </w:r>
      <w:r w:rsidR="00243D6B">
        <w:t xml:space="preserve">rate </w:t>
      </w:r>
      <w:r>
        <w:t xml:space="preserve">than the </w:t>
      </w:r>
      <w:r w:rsidR="0035616E">
        <w:t xml:space="preserve">current </w:t>
      </w:r>
      <w:r>
        <w:t>six year average.</w:t>
      </w:r>
      <w:r w:rsidR="00706B08">
        <w:t xml:space="preserve"> </w:t>
      </w:r>
      <w:r w:rsidR="00243D6B">
        <w:t>(See Table 1).</w:t>
      </w:r>
    </w:p>
    <w:p w14:paraId="30E28654" w14:textId="43C0711F" w:rsidR="00070375" w:rsidRPr="00185BB6" w:rsidRDefault="00185BB6" w:rsidP="00185BB6">
      <w:pPr>
        <w:jc w:val="center"/>
        <w:rPr>
          <w:b/>
          <w:bCs/>
        </w:rPr>
      </w:pPr>
      <w:r w:rsidRPr="00185BB6">
        <w:rPr>
          <w:b/>
          <w:bCs/>
        </w:rPr>
        <w:t>Table 1: Change in the Annual Population of Australian High Productivity Vehicles</w:t>
      </w:r>
    </w:p>
    <w:tbl>
      <w:tblPr>
        <w:tblW w:w="8286" w:type="dxa"/>
        <w:tblInd w:w="530" w:type="dxa"/>
        <w:tblLook w:val="04A0" w:firstRow="1" w:lastRow="0" w:firstColumn="1" w:lastColumn="0" w:noHBand="0" w:noVBand="1"/>
      </w:tblPr>
      <w:tblGrid>
        <w:gridCol w:w="1890"/>
        <w:gridCol w:w="900"/>
        <w:gridCol w:w="900"/>
        <w:gridCol w:w="900"/>
        <w:gridCol w:w="810"/>
        <w:gridCol w:w="900"/>
        <w:gridCol w:w="900"/>
        <w:gridCol w:w="1086"/>
      </w:tblGrid>
      <w:tr w:rsidR="00651193" w:rsidRPr="00F72875" w14:paraId="1FEEC0DD" w14:textId="77777777" w:rsidTr="00185BB6">
        <w:trPr>
          <w:trHeight w:val="315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E790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E66117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27B121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C32FE7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11A6DB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3AF5CE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F495F0" w14:textId="7B254FA3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8D136" w14:textId="4BABE2C0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Average 2015-20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</w:t>
            </w:r>
          </w:p>
        </w:tc>
      </w:tr>
      <w:tr w:rsidR="00651193" w:rsidRPr="00F72875" w14:paraId="3978EC05" w14:textId="77777777" w:rsidTr="00185BB6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99343" w14:textId="7D9108D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HPV</w:t>
            </w: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Articulated Combinations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34EC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3BCB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B078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9748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54A9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B760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4748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DD1DC" w14:textId="1E7E75A4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3093</w:t>
            </w:r>
          </w:p>
        </w:tc>
      </w:tr>
      <w:tr w:rsidR="00651193" w:rsidRPr="00F72875" w14:paraId="107B5A0E" w14:textId="77777777" w:rsidTr="00185BB6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34279" w14:textId="6D97DF86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HPV</w:t>
            </w: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Truck and Dog Trailers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00CF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F1EB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B3CA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3780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2A0C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C3CA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BD0E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6230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57D0E" w14:textId="699AF838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4260</w:t>
            </w:r>
          </w:p>
        </w:tc>
      </w:tr>
      <w:tr w:rsidR="00651193" w:rsidRPr="00F72875" w14:paraId="2266F784" w14:textId="77777777" w:rsidTr="00185BB6">
        <w:trPr>
          <w:trHeight w:val="50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800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805BB0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3618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4A5A2A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71ADF6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6423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2B92C1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A9CE88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9917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C64F7C5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72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10978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21B88" w14:textId="58FCF3E4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7353</w:t>
            </w:r>
          </w:p>
        </w:tc>
      </w:tr>
      <w:tr w:rsidR="00651193" w:rsidRPr="00F72875" w14:paraId="2E09D87D" w14:textId="77777777" w:rsidTr="00185BB6">
        <w:trPr>
          <w:trHeight w:val="502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CD4DB" w14:textId="062E6EFF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Growth Rate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5BE9015" w14:textId="77777777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AAA23C8" w14:textId="4EE7B253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C2BABA9" w14:textId="7F7C118D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1405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26563E9" w14:textId="0EC682F8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6B6C2AD" w14:textId="0D61BA73" w:rsidR="00651193" w:rsidRPr="00F72875" w:rsidRDefault="00651193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1749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C57494F" w14:textId="2416E99D" w:rsidR="00651193" w:rsidRPr="00F72875" w:rsidRDefault="003E1816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1061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A402BE" w14:textId="569948C1" w:rsidR="00651193" w:rsidRDefault="003E1816" w:rsidP="00C80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</w:t>
            </w:r>
          </w:p>
        </w:tc>
      </w:tr>
    </w:tbl>
    <w:p w14:paraId="72083ED2" w14:textId="421120D7" w:rsidR="00651193" w:rsidRPr="00185BB6" w:rsidRDefault="00185BB6" w:rsidP="00185BB6">
      <w:pPr>
        <w:ind w:firstLine="540"/>
        <w:rPr>
          <w:i/>
          <w:iCs/>
          <w:sz w:val="20"/>
          <w:szCs w:val="20"/>
        </w:rPr>
      </w:pPr>
      <w:r w:rsidRPr="00185BB6">
        <w:rPr>
          <w:i/>
          <w:iCs/>
          <w:sz w:val="20"/>
          <w:szCs w:val="20"/>
        </w:rPr>
        <w:t>Source: National Heavy Vehicle Regulator (Australia) 2021</w:t>
      </w:r>
    </w:p>
    <w:p w14:paraId="48E256F5" w14:textId="422CD8DE" w:rsidR="00502C7F" w:rsidRDefault="00502C7F"/>
    <w:p w14:paraId="4D8881BB" w14:textId="0DBDBDD9" w:rsidR="00A4219B" w:rsidRPr="00706B08" w:rsidRDefault="00A4219B">
      <w:pPr>
        <w:rPr>
          <w:b/>
          <w:bCs/>
        </w:rPr>
      </w:pPr>
      <w:r w:rsidRPr="00706B08">
        <w:rPr>
          <w:b/>
          <w:bCs/>
        </w:rPr>
        <w:t xml:space="preserve">The </w:t>
      </w:r>
      <w:r w:rsidR="00706B08" w:rsidRPr="00706B08">
        <w:rPr>
          <w:b/>
          <w:bCs/>
        </w:rPr>
        <w:t>Safety, Productivity and Environmental Benefits of HPVs</w:t>
      </w:r>
    </w:p>
    <w:p w14:paraId="003574A1" w14:textId="47DD0902" w:rsidR="00101EEB" w:rsidRDefault="00F96358">
      <w:r>
        <w:t xml:space="preserve">There have been three </w:t>
      </w:r>
      <w:r w:rsidR="0035616E">
        <w:t xml:space="preserve">published </w:t>
      </w:r>
      <w:r>
        <w:t xml:space="preserve">national studies on HPVs in Australia </w:t>
      </w:r>
      <w:r w:rsidR="0035616E">
        <w:t>o</w:t>
      </w:r>
      <w:r w:rsidR="005030CB">
        <w:t>ver the last seven years:</w:t>
      </w:r>
      <w:r>
        <w:t xml:space="preserve"> 2014</w:t>
      </w:r>
      <w:r w:rsidR="005030CB">
        <w:t>,</w:t>
      </w:r>
      <w:r w:rsidR="0035616E">
        <w:t xml:space="preserve"> </w:t>
      </w:r>
      <w:r>
        <w:t xml:space="preserve">2017 and </w:t>
      </w:r>
      <w:r w:rsidR="00243D6B">
        <w:t xml:space="preserve">very recently in </w:t>
      </w:r>
      <w:r>
        <w:t>2021. The three classes of benefits</w:t>
      </w:r>
      <w:r w:rsidR="0035616E">
        <w:t xml:space="preserve">, gained through the use of HPVs, </w:t>
      </w:r>
      <w:r>
        <w:t xml:space="preserve">all </w:t>
      </w:r>
      <w:r w:rsidR="00243D6B">
        <w:t xml:space="preserve">come about through </w:t>
      </w:r>
      <w:r w:rsidR="00C436F1">
        <w:t xml:space="preserve">the large saving in kilometres travelled when compared to </w:t>
      </w:r>
      <w:r w:rsidR="0035616E">
        <w:t xml:space="preserve">using </w:t>
      </w:r>
      <w:r w:rsidR="00243D6B">
        <w:t xml:space="preserve">an equivalent capacity basket of </w:t>
      </w:r>
      <w:r w:rsidR="00C436F1">
        <w:t>conventional trucks. The kilometre saving</w:t>
      </w:r>
      <w:r w:rsidR="005030CB">
        <w:t>, as a fractional saving,</w:t>
      </w:r>
      <w:r w:rsidR="00C436F1">
        <w:t xml:space="preserve"> are viewed as the productivity benefit</w:t>
      </w:r>
      <w:r w:rsidR="005030CB">
        <w:t>. As</w:t>
      </w:r>
      <w:r w:rsidR="00C436F1">
        <w:t xml:space="preserve"> crash rates can be related to million</w:t>
      </w:r>
      <w:r w:rsidR="0035616E">
        <w:t>s</w:t>
      </w:r>
      <w:r w:rsidR="00C436F1">
        <w:t xml:space="preserve"> of kilometres travelled, safety savings can be estimated by </w:t>
      </w:r>
      <w:r w:rsidR="00243D6B">
        <w:t>how many million kilometres the HPVs actually save</w:t>
      </w:r>
      <w:r w:rsidR="0035616E">
        <w:t xml:space="preserve"> and applying the crash rate to that saving</w:t>
      </w:r>
      <w:r w:rsidR="00243D6B">
        <w:t>.</w:t>
      </w:r>
      <w:r w:rsidR="00C436F1">
        <w:t xml:space="preserve"> The environmental benefits ar</w:t>
      </w:r>
      <w:r w:rsidR="005030CB">
        <w:t>ise</w:t>
      </w:r>
      <w:r w:rsidR="00C436F1">
        <w:t xml:space="preserve"> from the net fuel savings in performing a given tonnage task with HPVs when compared to a </w:t>
      </w:r>
      <w:r w:rsidR="00101EEB">
        <w:t xml:space="preserve">basket of </w:t>
      </w:r>
      <w:r w:rsidR="00C436F1">
        <w:t xml:space="preserve">conventional </w:t>
      </w:r>
      <w:r w:rsidR="00101EEB">
        <w:t xml:space="preserve">vehicles, </w:t>
      </w:r>
      <w:proofErr w:type="gramStart"/>
      <w:r w:rsidR="00101EEB">
        <w:t>non HPVs</w:t>
      </w:r>
      <w:proofErr w:type="gramEnd"/>
      <w:r w:rsidR="00243D6B">
        <w:t xml:space="preserve">, performing the same </w:t>
      </w:r>
      <w:r w:rsidR="005030CB">
        <w:t xml:space="preserve">tonnage </w:t>
      </w:r>
      <w:r w:rsidR="00243D6B">
        <w:t>task</w:t>
      </w:r>
      <w:r w:rsidR="00101EEB">
        <w:t>.</w:t>
      </w:r>
      <w:r w:rsidR="004F6146">
        <w:t xml:space="preserve"> In 2014 it was estimated that the population of HPV</w:t>
      </w:r>
      <w:r w:rsidR="0035616E">
        <w:t>s</w:t>
      </w:r>
      <w:r w:rsidR="004F6146">
        <w:t xml:space="preserve"> would save some 7.3 billion kilometres in travel, or 2.7 </w:t>
      </w:r>
      <w:r w:rsidR="004F6146">
        <w:lastRenderedPageBreak/>
        <w:t>billion litres of diesel fuel by 2030. As the growth rate for HPV adoption ha</w:t>
      </w:r>
      <w:r w:rsidR="00243D6B">
        <w:t>s</w:t>
      </w:r>
      <w:r w:rsidR="004F6146">
        <w:t xml:space="preserve"> been greater than that </w:t>
      </w:r>
      <w:r w:rsidR="00243D6B">
        <w:t>rate f</w:t>
      </w:r>
      <w:r w:rsidR="004F6146">
        <w:t>orecast in 2014 these estimates will certainly be exceeded.</w:t>
      </w:r>
    </w:p>
    <w:p w14:paraId="1385C405" w14:textId="16BAE555" w:rsidR="00706B08" w:rsidRPr="00706B08" w:rsidRDefault="00706B08">
      <w:r w:rsidRPr="00706B08">
        <w:t xml:space="preserve">The </w:t>
      </w:r>
      <w:r>
        <w:t xml:space="preserve">following three </w:t>
      </w:r>
      <w:r w:rsidR="00243D6B">
        <w:t>HPV configurations, Figures 1,2 and 3</w:t>
      </w:r>
      <w:r>
        <w:t xml:space="preserve"> represent</w:t>
      </w:r>
      <w:r w:rsidR="00101EEB">
        <w:t xml:space="preserve"> </w:t>
      </w:r>
      <w:r w:rsidR="004F6146">
        <w:t>76% of the Australian HPV fleet</w:t>
      </w:r>
      <w:r w:rsidR="00243D6B">
        <w:t xml:space="preserve"> as at 2020</w:t>
      </w:r>
      <w:r w:rsidR="004F6146">
        <w:t>. That is</w:t>
      </w:r>
      <w:r w:rsidR="00243D6B">
        <w:t>,</w:t>
      </w:r>
      <w:r w:rsidR="004F6146">
        <w:t xml:space="preserve"> they</w:t>
      </w:r>
      <w:r w:rsidR="00243D6B">
        <w:t xml:space="preserve"> </w:t>
      </w:r>
      <w:r w:rsidR="004F6146">
        <w:t xml:space="preserve">are the most popular configurations of the </w:t>
      </w:r>
      <w:r w:rsidR="00243D6B">
        <w:t xml:space="preserve">many </w:t>
      </w:r>
      <w:r w:rsidR="004F6146">
        <w:t>HPV truck types.</w:t>
      </w:r>
      <w:r>
        <w:t xml:space="preserve"> </w:t>
      </w:r>
      <w:r w:rsidR="00243D6B">
        <w:t>(</w:t>
      </w:r>
      <w:hyperlink r:id="rId4" w:history="1">
        <w:r w:rsidR="00243D6B">
          <w:rPr>
            <w:rStyle w:val="Hyperlink"/>
          </w:rPr>
          <w:t>PBS Vehicle Configurations (nhvr.gov.au)</w:t>
        </w:r>
      </w:hyperlink>
      <w:r w:rsidR="00243D6B">
        <w:t>)</w:t>
      </w:r>
    </w:p>
    <w:p w14:paraId="0D65D99D" w14:textId="1E7F3FBC" w:rsidR="00706B08" w:rsidRPr="00E4348C" w:rsidRDefault="00F85073" w:rsidP="00706B08">
      <w:pPr>
        <w:rPr>
          <w:b/>
          <w:bCs/>
        </w:rPr>
      </w:pPr>
      <w:r w:rsidRPr="00E4348C">
        <w:rPr>
          <w:b/>
          <w:bCs/>
        </w:rPr>
        <w:t xml:space="preserve">Figure 1: </w:t>
      </w:r>
      <w:r w:rsidR="00C42B26" w:rsidRPr="00E4348C">
        <w:rPr>
          <w:b/>
          <w:bCs/>
        </w:rPr>
        <w:t>Construction</w:t>
      </w:r>
      <w:r w:rsidR="00185BB6" w:rsidRPr="00E4348C">
        <w:rPr>
          <w:b/>
          <w:bCs/>
        </w:rPr>
        <w:t>/Quarry</w:t>
      </w:r>
      <w:r w:rsidR="00C42B26" w:rsidRPr="00E4348C">
        <w:rPr>
          <w:b/>
          <w:bCs/>
        </w:rPr>
        <w:t xml:space="preserve"> Rigid Truck </w:t>
      </w:r>
      <w:r w:rsidR="00101EEB">
        <w:rPr>
          <w:b/>
          <w:bCs/>
        </w:rPr>
        <w:t xml:space="preserve">- </w:t>
      </w:r>
      <w:r w:rsidR="00706B08">
        <w:rPr>
          <w:b/>
          <w:bCs/>
        </w:rPr>
        <w:t>34% of HPV Population</w:t>
      </w:r>
    </w:p>
    <w:p w14:paraId="1559A8B0" w14:textId="249C28F8" w:rsidR="00F85073" w:rsidRDefault="00F85073">
      <w:r w:rsidRPr="00F85073">
        <w:rPr>
          <w:noProof/>
          <w:bdr w:val="single" w:sz="4" w:space="0" w:color="auto"/>
        </w:rPr>
        <w:drawing>
          <wp:inline distT="0" distB="0" distL="0" distR="0" wp14:anchorId="3CC3D030" wp14:editId="1E5D01D4">
            <wp:extent cx="2780371" cy="1139825"/>
            <wp:effectExtent l="0" t="0" r="1270" b="3175"/>
            <wp:docPr id="2" name="Picture 2" descr="PBS Trailers for Sale | Borcast Trai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S Trailers for Sale | Borcast Trail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41" cy="118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17EA" w14:textId="179C4FA6" w:rsidR="00E4348C" w:rsidRDefault="00E4348C" w:rsidP="0050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Gross Vehicle Mass </w:t>
      </w:r>
      <w:r w:rsidR="000B7343">
        <w:t>57.5 tonnes, Length 20m</w:t>
      </w:r>
      <w:r w:rsidR="00243D6B">
        <w:t xml:space="preserve">, </w:t>
      </w:r>
      <w:r w:rsidR="00706B08">
        <w:t xml:space="preserve">Productivity Benefits </w:t>
      </w:r>
      <w:r w:rsidR="004F6146">
        <w:t xml:space="preserve">over conventional vehicle class </w:t>
      </w:r>
      <w:r w:rsidR="00101EEB">
        <w:t>– 20.9%</w:t>
      </w:r>
      <w:r w:rsidR="00243D6B">
        <w:t xml:space="preserve">, </w:t>
      </w:r>
      <w:r w:rsidR="00B70930">
        <w:t xml:space="preserve">Major Crash saving over conventional </w:t>
      </w:r>
      <w:r w:rsidR="00243D6B">
        <w:t xml:space="preserve">Rigid </w:t>
      </w:r>
      <w:r w:rsidR="0035616E">
        <w:t xml:space="preserve">construction </w:t>
      </w:r>
      <w:r w:rsidR="00243D6B">
        <w:t xml:space="preserve">truck and trailer combinations </w:t>
      </w:r>
      <w:r w:rsidR="00B70930">
        <w:t xml:space="preserve">– </w:t>
      </w:r>
      <w:r w:rsidR="00B70930">
        <w:t>62%</w:t>
      </w:r>
    </w:p>
    <w:p w14:paraId="19CBF1BB" w14:textId="40055ADD" w:rsidR="00E4348C" w:rsidRDefault="00E4348C"/>
    <w:p w14:paraId="1F275350" w14:textId="5AA20F35" w:rsidR="00A4219B" w:rsidRDefault="00A4219B" w:rsidP="00A4219B">
      <w:pPr>
        <w:rPr>
          <w:b/>
          <w:bCs/>
        </w:rPr>
      </w:pPr>
      <w:r w:rsidRPr="00E4348C">
        <w:rPr>
          <w:b/>
          <w:bCs/>
        </w:rPr>
        <w:t>Figure 2: Enhanced Semi-Trailer</w:t>
      </w:r>
      <w:r w:rsidR="00706B08">
        <w:rPr>
          <w:b/>
          <w:bCs/>
        </w:rPr>
        <w:t xml:space="preserve"> – 18% of HPV Population</w:t>
      </w:r>
    </w:p>
    <w:p w14:paraId="6035F1DA" w14:textId="77777777" w:rsidR="00F85073" w:rsidRDefault="001D5C69">
      <w:r w:rsidRPr="00185BB6">
        <w:rPr>
          <w:noProof/>
          <w:bdr w:val="single" w:sz="4" w:space="0" w:color="auto"/>
        </w:rPr>
        <w:drawing>
          <wp:inline distT="0" distB="0" distL="0" distR="0" wp14:anchorId="1A93B7A1" wp14:editId="5E80F324">
            <wp:extent cx="3236434" cy="14868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94" cy="156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F1B4" w14:textId="5F1BAFB2" w:rsidR="004F6146" w:rsidRDefault="00E4348C" w:rsidP="0050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Gross Vehicle Mass 50.5 Tonnes – Length 20m</w:t>
      </w:r>
      <w:r w:rsidR="005030CB">
        <w:t xml:space="preserve">, </w:t>
      </w:r>
      <w:r w:rsidR="00101EEB">
        <w:t>Productivity Benefits</w:t>
      </w:r>
      <w:r w:rsidR="004F6146">
        <w:t xml:space="preserve"> over conventional vehicle class</w:t>
      </w:r>
      <w:r w:rsidR="00101EEB">
        <w:t>: 16.2%</w:t>
      </w:r>
      <w:r w:rsidR="00243D6B">
        <w:t xml:space="preserve">, </w:t>
      </w:r>
      <w:r w:rsidR="004F6146">
        <w:t xml:space="preserve">Major Crash saving over conventional </w:t>
      </w:r>
      <w:r w:rsidR="0035616E">
        <w:t>19m tri axle s</w:t>
      </w:r>
      <w:r w:rsidR="005030CB">
        <w:t>emi-trailer</w:t>
      </w:r>
      <w:r w:rsidR="004F6146">
        <w:t xml:space="preserve"> – </w:t>
      </w:r>
      <w:r w:rsidR="00B70930">
        <w:t>53</w:t>
      </w:r>
      <w:r w:rsidR="004F6146">
        <w:t>%</w:t>
      </w:r>
    </w:p>
    <w:p w14:paraId="0B58C8EB" w14:textId="2160A55A" w:rsidR="00F85073" w:rsidRDefault="00F85073"/>
    <w:p w14:paraId="06D772FB" w14:textId="591AA308" w:rsidR="00706B08" w:rsidRPr="009C5438" w:rsidRDefault="00185BB6">
      <w:pPr>
        <w:rPr>
          <w:b/>
          <w:bCs/>
        </w:rPr>
      </w:pPr>
      <w:r w:rsidRPr="009C5438">
        <w:rPr>
          <w:b/>
          <w:bCs/>
        </w:rPr>
        <w:t xml:space="preserve">Figure 3: A-Double – </w:t>
      </w:r>
      <w:r w:rsidR="00A4219B">
        <w:rPr>
          <w:b/>
          <w:bCs/>
        </w:rPr>
        <w:t>(</w:t>
      </w:r>
      <w:r w:rsidRPr="009C5438">
        <w:rPr>
          <w:b/>
          <w:bCs/>
        </w:rPr>
        <w:t>High Productivity Road Train)</w:t>
      </w:r>
      <w:r w:rsidR="0035616E">
        <w:rPr>
          <w:b/>
          <w:bCs/>
        </w:rPr>
        <w:t xml:space="preserve"> - </w:t>
      </w:r>
      <w:r w:rsidR="00706B08">
        <w:rPr>
          <w:b/>
          <w:bCs/>
        </w:rPr>
        <w:t>24% of HPV Population</w:t>
      </w:r>
    </w:p>
    <w:p w14:paraId="5637B554" w14:textId="16A63A46" w:rsidR="00502C7F" w:rsidRDefault="00F85073">
      <w:r w:rsidRPr="00185BB6">
        <w:rPr>
          <w:noProof/>
          <w:bdr w:val="single" w:sz="4" w:space="0" w:color="auto"/>
        </w:rPr>
        <w:drawing>
          <wp:inline distT="0" distB="0" distL="0" distR="0" wp14:anchorId="4E0DCD16" wp14:editId="29AB080D">
            <wp:extent cx="4966010" cy="8401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18" cy="84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F7991" w14:textId="4D9F3BB4" w:rsidR="00101EEB" w:rsidRDefault="009C5438" w:rsidP="0050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Gross Vehicle Mass 85.5 Tonnes – Length 36.5m</w:t>
      </w:r>
      <w:r w:rsidR="00243D6B">
        <w:t xml:space="preserve">, </w:t>
      </w:r>
      <w:r w:rsidR="00101EEB">
        <w:t>Productivity Benefit</w:t>
      </w:r>
      <w:r w:rsidR="004F6146">
        <w:t xml:space="preserve"> over conventional vehicle class</w:t>
      </w:r>
      <w:r w:rsidR="00101EEB">
        <w:t xml:space="preserve"> – 32.5%</w:t>
      </w:r>
      <w:r w:rsidR="00243D6B">
        <w:t xml:space="preserve">, </w:t>
      </w:r>
      <w:r w:rsidR="004F6146">
        <w:t xml:space="preserve">Major Crash saving over conventional </w:t>
      </w:r>
      <w:r w:rsidR="0035616E">
        <w:t xml:space="preserve">double </w:t>
      </w:r>
      <w:r w:rsidR="004F6146">
        <w:t>road train – 30%</w:t>
      </w:r>
    </w:p>
    <w:p w14:paraId="3C07DBD6" w14:textId="1929F4E3" w:rsidR="005030CB" w:rsidRDefault="005030CB" w:rsidP="005030CB">
      <w:r>
        <w:t>The implementation of HPVs in Australia has delivered an all-round sustainability benefit, in safety, productivity and net fuel savings. The growth in the use of these vehicles will continue this trend.</w:t>
      </w:r>
    </w:p>
    <w:p w14:paraId="7733AEB0" w14:textId="2D65A9F9" w:rsidR="005030CB" w:rsidRDefault="005030CB" w:rsidP="005030CB"/>
    <w:p w14:paraId="30368B2D" w14:textId="3DF6D011" w:rsidR="005030CB" w:rsidRPr="005030CB" w:rsidRDefault="005030CB" w:rsidP="005030CB">
      <w:pPr>
        <w:rPr>
          <w:i/>
          <w:iCs/>
        </w:rPr>
      </w:pPr>
      <w:r w:rsidRPr="005030CB">
        <w:rPr>
          <w:i/>
          <w:iCs/>
        </w:rPr>
        <w:t>Author: Dr Kim Hassall</w:t>
      </w:r>
      <w:r w:rsidRPr="005030CB">
        <w:rPr>
          <w:i/>
          <w:iCs/>
        </w:rPr>
        <w:tab/>
        <w:t>National Chair CILT-Australia</w:t>
      </w:r>
      <w:r w:rsidR="0035616E">
        <w:rPr>
          <w:i/>
          <w:iCs/>
        </w:rPr>
        <w:t>, PhD FCILT CPL</w:t>
      </w:r>
    </w:p>
    <w:sectPr w:rsidR="005030CB" w:rsidRPr="005030CB" w:rsidSect="005030CB">
      <w:pgSz w:w="11906" w:h="16838"/>
      <w:pgMar w:top="13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3"/>
    <w:rsid w:val="00070375"/>
    <w:rsid w:val="000B7343"/>
    <w:rsid w:val="00101EEB"/>
    <w:rsid w:val="00185BB6"/>
    <w:rsid w:val="001D5C69"/>
    <w:rsid w:val="00243D6B"/>
    <w:rsid w:val="002662C3"/>
    <w:rsid w:val="0035616E"/>
    <w:rsid w:val="003E1816"/>
    <w:rsid w:val="004F6146"/>
    <w:rsid w:val="00502C7F"/>
    <w:rsid w:val="005030CB"/>
    <w:rsid w:val="00651193"/>
    <w:rsid w:val="00675C99"/>
    <w:rsid w:val="00706B08"/>
    <w:rsid w:val="007779B7"/>
    <w:rsid w:val="009C5438"/>
    <w:rsid w:val="00A4219B"/>
    <w:rsid w:val="00B70930"/>
    <w:rsid w:val="00C42B26"/>
    <w:rsid w:val="00C436F1"/>
    <w:rsid w:val="00E4348C"/>
    <w:rsid w:val="00F85073"/>
    <w:rsid w:val="00F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C93A"/>
  <w15:chartTrackingRefBased/>
  <w15:docId w15:val="{8C909800-330E-4D5F-AE6B-FB6110F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93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675C99"/>
    <w:pPr>
      <w:spacing w:before="120" w:after="0" w:line="240" w:lineRule="auto"/>
      <w:ind w:right="-1134"/>
    </w:pPr>
    <w:rPr>
      <w:rFonts w:ascii="Arial" w:eastAsia="Calibri" w:hAnsi="Arial" w:cs="Times New Roman"/>
      <w:sz w:val="22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43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nhvr.gov.au/files/201810-0923-pbs-vehicle-configuration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Hassall</dc:creator>
  <cp:keywords/>
  <dc:description/>
  <cp:lastModifiedBy>Kim Hassall</cp:lastModifiedBy>
  <cp:revision>2</cp:revision>
  <dcterms:created xsi:type="dcterms:W3CDTF">2021-04-11T09:00:00Z</dcterms:created>
  <dcterms:modified xsi:type="dcterms:W3CDTF">2021-04-11T09:00:00Z</dcterms:modified>
</cp:coreProperties>
</file>